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EE" w:rsidRDefault="007A1BEE" w:rsidP="007A1BEE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  <m:oMathPara>
        <m:oMath>
          <m:r>
            <w:rPr>
              <w:rFonts w:ascii="Cambria Math" w:eastAsia="Times New Roman" w:hAnsi="Cambria Math" w:cs="Arial"/>
              <w:kern w:val="36"/>
              <w:sz w:val="39"/>
              <w:szCs w:val="39"/>
              <w:lang w:eastAsia="ru-RU"/>
            </w:rPr>
            <m:t>Об утверждении Типовых правил проведения внутреннего анализа коррупционных рисков</m:t>
          </m:r>
        </m:oMath>
      </m:oMathPara>
    </w:p>
    <w:p w:rsidR="007A1BEE" w:rsidRDefault="007A1BEE" w:rsidP="007A1BEE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Председателя Агентства Республики Казахстан по делам государственной службы и противодействию коррупции от 19 октября 2016 года № 12. Зарегистрирован в Министерстве юстиции Республики Казахстан 21 ноября 2016 года № 14441.</w:t>
      </w:r>
    </w:p>
    <w:p w:rsidR="007A1BEE" w:rsidRDefault="007A1BEE" w:rsidP="007A1BEE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>
          <w:rPr>
            <w:rStyle w:val="a3"/>
            <w:rFonts w:ascii="Arial" w:eastAsia="Times New Roman" w:hAnsi="Arial" w:cs="Arial"/>
            <w:color w:val="073A5E"/>
            <w:spacing w:val="5"/>
            <w:sz w:val="23"/>
            <w:szCs w:val="23"/>
            <w:lang w:eastAsia="ru-RU"/>
          </w:rPr>
          <w:t>Текст</w:t>
        </w:r>
      </w:hyperlink>
    </w:p>
    <w:p w:rsidR="007A1BEE" w:rsidRDefault="007A1BEE" w:rsidP="007A1BEE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>
          <w:rPr>
            <w:rStyle w:val="a3"/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Официальная публикация</w:t>
        </w:r>
      </w:hyperlink>
    </w:p>
    <w:p w:rsidR="007A1BEE" w:rsidRDefault="007A1BEE" w:rsidP="007A1BEE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>
          <w:rPr>
            <w:rStyle w:val="a3"/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Информация</w:t>
        </w:r>
      </w:hyperlink>
    </w:p>
    <w:p w:rsidR="007A1BEE" w:rsidRDefault="007A1BEE" w:rsidP="007A1BEE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>
          <w:rPr>
            <w:rStyle w:val="a3"/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История изменений</w:t>
        </w:r>
      </w:hyperlink>
    </w:p>
    <w:p w:rsidR="007A1BEE" w:rsidRDefault="007A1BEE" w:rsidP="007A1BEE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>
          <w:rPr>
            <w:rStyle w:val="a3"/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Ссылки</w:t>
        </w:r>
      </w:hyperlink>
    </w:p>
    <w:p w:rsidR="007A1BEE" w:rsidRDefault="007A1BEE" w:rsidP="007A1BEE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>
          <w:rPr>
            <w:rStyle w:val="a3"/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Скачать</w:t>
        </w:r>
      </w:hyperlink>
    </w:p>
    <w:p w:rsidR="007A1BEE" w:rsidRDefault="007A1BEE" w:rsidP="007A1BEE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7A1BEE" w:rsidRDefault="007A1BEE" w:rsidP="007A1B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соответствии с </w:t>
      </w:r>
      <w:hyperlink r:id="rId11" w:anchor="z62" w:history="1">
        <w:r>
          <w:rPr>
            <w:rStyle w:val="a3"/>
            <w:rFonts w:ascii="Courier New" w:eastAsia="Times New Roman" w:hAnsi="Courier New" w:cs="Courier New"/>
            <w:color w:val="073A5E"/>
            <w:spacing w:val="2"/>
            <w:sz w:val="20"/>
            <w:szCs w:val="20"/>
            <w:lang w:eastAsia="ru-RU"/>
          </w:rPr>
          <w:t>пунктом 5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8 Закона Республики Казахстан от 18 ноября 2015 года "О противодействии коррупции" </w:t>
      </w:r>
      <w:r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:rsidR="007A1BEE" w:rsidRDefault="007A1BEE" w:rsidP="007A1B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1. Утвердить прилагаемые </w:t>
      </w:r>
      <w:hyperlink r:id="rId12" w:anchor="z1" w:history="1">
        <w:r>
          <w:rPr>
            <w:rStyle w:val="a3"/>
            <w:rFonts w:ascii="Courier New" w:eastAsia="Times New Roman" w:hAnsi="Courier New" w:cs="Courier New"/>
            <w:color w:val="073A5E"/>
            <w:spacing w:val="2"/>
            <w:sz w:val="20"/>
            <w:szCs w:val="20"/>
            <w:lang w:eastAsia="ru-RU"/>
          </w:rPr>
          <w:t>Типовые правила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проведения внутреннего анализа коррупционных рисков.</w:t>
      </w:r>
    </w:p>
    <w:p w:rsidR="007A1BEE" w:rsidRDefault="007A1BEE" w:rsidP="007A1B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2. Признать утратившим силу </w:t>
      </w:r>
      <w:hyperlink r:id="rId13" w:anchor="z0" w:history="1">
        <w:r>
          <w:rPr>
            <w:rStyle w:val="a3"/>
            <w:rFonts w:ascii="Courier New" w:eastAsia="Times New Roman" w:hAnsi="Courier New" w:cs="Courier New"/>
            <w:color w:val="073A5E"/>
            <w:spacing w:val="2"/>
            <w:sz w:val="20"/>
            <w:szCs w:val="20"/>
            <w:lang w:eastAsia="ru-RU"/>
          </w:rPr>
          <w:t>приказ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по делам государственной службы Республики Казахстан от 29 декабря 2015 года № 18 "Об утверждении Типовых правил проведения внутреннего анализа коррупционных рисков" (зарегистрированный в Реестре государственной регистрации нормативных правовых актов за № 12651, опубликованный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15 января 2016 года в информационно-правовой системе "</w:t>
      </w:r>
      <w:proofErr w:type="spell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").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3. Департаменту антикоррупционной политики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 </w:t>
      </w:r>
      <w:proofErr w:type="spell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в течение десяти календарных дней со дня государственной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Эталонный контрольный банк нормативных правовых актов Республики Казахстан;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4) размещение настоящего приказа на </w:t>
      </w:r>
      <w:proofErr w:type="spell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Агентства Республики Казахстан по делам государственной службы и противодействию коррупции.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противодействия коррупции.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5. Настоящий приказ вводится в действие со дня его первого официального опубликования.</w:t>
      </w:r>
    </w:p>
    <w:tbl>
      <w:tblPr>
        <w:tblW w:w="1338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3"/>
        <w:gridCol w:w="5497"/>
      </w:tblGrid>
      <w:tr w:rsidR="007A1BEE" w:rsidTr="007A1BEE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1BEE" w:rsidRDefault="007A1B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A1B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Председатель Агентства Республики Казахстан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1BEE" w:rsidRDefault="007A1BE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7A1BEE" w:rsidTr="007A1BEE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1BEE" w:rsidRDefault="007A1B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делам государственной службы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1BEE" w:rsidRDefault="007A1BE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7A1BEE" w:rsidTr="007A1BEE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1BEE" w:rsidRDefault="007A1B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 противодействию коррупции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1BEE" w:rsidRDefault="007A1B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К.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Кожамжаров</w:t>
            </w:r>
            <w:proofErr w:type="spellEnd"/>
          </w:p>
        </w:tc>
      </w:tr>
      <w:tr w:rsidR="007A1BEE" w:rsidTr="007A1BEE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1BEE" w:rsidRDefault="007A1BEE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1BEE" w:rsidRDefault="007A1B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0" w:name="z8"/>
            <w:bookmarkEnd w:id="0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Утверждены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приказом Председателя Агентства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 по делам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государственной службы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противодействию коррупции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от 19 октября 2016 года № 12</w:t>
            </w:r>
          </w:p>
        </w:tc>
      </w:tr>
    </w:tbl>
    <w:p w:rsidR="007A1BEE" w:rsidRDefault="007A1BEE" w:rsidP="007A1B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7A1BEE" w:rsidRDefault="007A1BEE" w:rsidP="007A1BEE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правила проведения</w:t>
      </w: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внутреннего анализа коррупционных рисков</w:t>
      </w: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1" w:name="z9"/>
      <w:bookmarkEnd w:id="1"/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7A1BEE" w:rsidRDefault="007A1BEE" w:rsidP="007A1B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1. Настоящие Типовые правила проведения внутреннего анализа коррупционных рисков (далее – Типовые правила) разработаны в соответствии с </w:t>
      </w:r>
      <w:hyperlink r:id="rId14" w:anchor="z62" w:history="1">
        <w:r>
          <w:rPr>
            <w:rStyle w:val="a3"/>
            <w:rFonts w:ascii="Courier New" w:eastAsia="Times New Roman" w:hAnsi="Courier New" w:cs="Courier New"/>
            <w:color w:val="073A5E"/>
            <w:spacing w:val="2"/>
            <w:sz w:val="20"/>
            <w:szCs w:val="20"/>
            <w:lang w:eastAsia="ru-RU"/>
          </w:rPr>
          <w:t>пунктом 5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статьи 8 Закона Республики Казахстан "О противодействии коррупции" и определяют порядок проведения внутреннего анализа коррупционных рисков государственными органами, организациями и субъектами </w:t>
      </w:r>
      <w:proofErr w:type="spell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(далее – субъекты внутреннего анализа коррупционных рисков).</w:t>
      </w:r>
    </w:p>
    <w:p w:rsidR="007A1BEE" w:rsidRDefault="007A1BEE" w:rsidP="007A1BEE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проведения внутреннего анализа</w:t>
      </w: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коррупционных рисков</w:t>
      </w:r>
    </w:p>
    <w:p w:rsidR="007A1BEE" w:rsidRDefault="007A1BEE" w:rsidP="007A1B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2. Основанием для проведения внутреннего анализа </w:t>
      </w:r>
      <w:hyperlink r:id="rId15" w:anchor="z45" w:history="1">
        <w:r>
          <w:rPr>
            <w:rStyle w:val="a3"/>
            <w:rFonts w:ascii="Courier New" w:eastAsia="Times New Roman" w:hAnsi="Courier New" w:cs="Courier New"/>
            <w:color w:val="073A5E"/>
            <w:spacing w:val="2"/>
            <w:sz w:val="20"/>
            <w:szCs w:val="20"/>
            <w:lang w:eastAsia="ru-RU"/>
          </w:rPr>
          <w:t>коррупционных рисков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является решение руководителя субъекта внутреннего анализа коррупционных рисков, при его отсутствии – лица, исполняющего его обязанности либо замещающего его должность.</w:t>
      </w:r>
    </w:p>
    <w:p w:rsidR="007A1BEE" w:rsidRDefault="007A1BEE" w:rsidP="007A1B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3. Решение о проведении внутреннего анализа коррупционных рисков принимается, в том числе на основании результатов </w:t>
      </w:r>
      <w:hyperlink r:id="rId16" w:anchor="z7" w:history="1">
        <w:r>
          <w:rPr>
            <w:rStyle w:val="a3"/>
            <w:rFonts w:ascii="Courier New" w:eastAsia="Times New Roman" w:hAnsi="Courier New" w:cs="Courier New"/>
            <w:color w:val="073A5E"/>
            <w:spacing w:val="2"/>
            <w:sz w:val="20"/>
            <w:szCs w:val="20"/>
            <w:lang w:eastAsia="ru-RU"/>
          </w:rPr>
          <w:t>антикоррупционного мониторинга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При этом, в настоящих Типовых правилах под руководителями субъекта внутреннего анализа коррупционных рисков понимаются руководители государственного органа и его ведомства, организации, а также руководители субъектов </w:t>
      </w:r>
      <w:proofErr w:type="spell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осуществляющие текущее руководство их деятельностью.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4. Внутренний анализ коррупционных рисков проводится структурным подразделением, лицом, уполномоченным на проведение внутреннего анализа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коррупционных рисков, определяемым первым руководителем субъекта внутреннего анализа коррупционных рисков, или создаваемой его решением рабочей группой.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 решению первого руководителя в состав рабочей группы привлекаются специалисты и (или) эксперты иных субъектов противодействия коррупции.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5. Объектом внутреннего анализа коррупционных рисков является деятельность структурного подразделения, ведомства, подведомственной организации, территориального и приравненного к нему подразделения субъекта внутреннего анализа коррупционных рисков (далее – подразделение).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6. Решение о проведении внутреннего анализа коррупционных рисков содержит следующую информацию: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наименование подразделения, деятельность которого подлежит внутреннему анализу коррупционных рисков;</w:t>
      </w:r>
    </w:p>
    <w:p w:rsidR="007A1BEE" w:rsidRDefault="007A1BEE" w:rsidP="007A1B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направление внутреннего анализа коррупционных рисков в соответствии с </w:t>
      </w:r>
      <w:hyperlink r:id="rId17" w:anchor="z18" w:history="1">
        <w:r>
          <w:rPr>
            <w:rStyle w:val="a3"/>
            <w:rFonts w:ascii="Courier New" w:eastAsia="Times New Roman" w:hAnsi="Courier New" w:cs="Courier New"/>
            <w:color w:val="073A5E"/>
            <w:spacing w:val="2"/>
            <w:sz w:val="20"/>
            <w:szCs w:val="20"/>
            <w:lang w:eastAsia="ru-RU"/>
          </w:rPr>
          <w:t>пунктом 8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Типовых правил;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о структурном подразделении, должностном лице (должностных лицах) или персональном составе рабочей группы, которая проводит внутренний анализ коррупционных рисков;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 период проведения внутреннего анализа коррупционных рисков;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5) о должностном лице субъекта внутреннего анализа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7. Периодичность проведения внутреннего анализа коррупционных рисков определяется субъектами внутреннего анализа коррупционных рисков.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8. Внутренний анализ коррупционных рисков осуществляется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 следующим направлениям: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выявление коррупционных рисков в нормативных правовых актах, затрагивающих деятельность подразделения;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выявление коррупционных рисков в организационно-управленческой деятельности подразделения.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9. В нормативных правовых актах, затрагивающих деятельность подразделения, выявляются дискреционные полномочия и нормы, способствующие совершению коррупционных правонарушений.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10. Под организационно-управленческой деятельностью подразделения понимаются вопросы: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управления персоналом, в том числе сменяемость кадров;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урегулирования конфликта интересов;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оказания государственных услуг;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 реализации разрешительных функций;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5) реализации контрольных функций;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6) иные вопросы, вытекающие из организационно-управленческой деятельности подразделения.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11. Источниками информации для проведения внутреннего анализа коррупционных рисков являются: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нормативные правовые акты, затрагивающие деятельность подразделения;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результаты проверок, ранее проведенных государственными органами в отношении подразделения;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публикации в средствах массовой информации;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 обращения физических и юридических лиц, поступившие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подразделение;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5) акты прокурорского надзора;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6) судебные акты;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7) иные сведения, предоставление которых допускается законодательством Республики Казахстан.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12. По результатам внутреннего анализа коррупционных рисков готовится аналитическая справка, содержащая: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информацию о выявленных коррупционных рисках;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рекомендации по их устранению;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сроки реализации рекомендации по устранению выявленных коррупционных рисков.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13. Аналитическая справка согласовывается лицами, проводившими внутренний анализ коррупционных рисков, руководителем подразделения,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деятельности которого проведен анализ коррупционных рисков,</w:t>
      </w:r>
    </w:p>
    <w:p w:rsidR="007A1BEE" w:rsidRDefault="007A1BEE" w:rsidP="007A1BE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 подписывается должностным лицом, указанным в подпункте 5) </w:t>
      </w:r>
      <w:hyperlink r:id="rId18" w:anchor="z16" w:history="1">
        <w:r>
          <w:rPr>
            <w:rStyle w:val="a3"/>
            <w:rFonts w:ascii="Courier New" w:eastAsia="Times New Roman" w:hAnsi="Courier New" w:cs="Courier New"/>
            <w:color w:val="073A5E"/>
            <w:spacing w:val="2"/>
            <w:sz w:val="20"/>
            <w:szCs w:val="20"/>
            <w:lang w:eastAsia="ru-RU"/>
          </w:rPr>
          <w:t>пункта 6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Типовых правил.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14. Аналитическая справка с рекомендациями по устранению выявленных коррупционных рисков вносится первому руководителю субъекта внутреннего анализа коррупционных рисков для рассмотрения и принятия мер.</w:t>
      </w:r>
    </w:p>
    <w:p w:rsidR="007A1BEE" w:rsidRDefault="007A1BEE" w:rsidP="007A1BE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15. Результаты внутреннего анализа коррупционных рисков и информация о принятых (принимаемых) мерах по устранению коррупционных рисков размещаются на </w:t>
      </w:r>
      <w:proofErr w:type="spell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субъекта внутреннего анализа коррупционных рисков.</w:t>
      </w:r>
    </w:p>
    <w:p w:rsidR="00842E90" w:rsidRDefault="007A1BEE" w:rsidP="007A1BEE">
      <w:pPr>
        <w:spacing w:after="360" w:line="285" w:lineRule="atLeast"/>
        <w:textAlignment w:val="baseline"/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16. Допускается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противодействию коррупции субъекта внутреннего анализа коррупционных рисков.</w:t>
      </w:r>
      <w:bookmarkStart w:id="2" w:name="_GoBack"/>
      <w:bookmarkEnd w:id="2"/>
      <w:r>
        <w:t xml:space="preserve"> </w:t>
      </w:r>
    </w:p>
    <w:sectPr w:rsidR="0084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EA9"/>
    <w:multiLevelType w:val="multilevel"/>
    <w:tmpl w:val="2EB6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64"/>
    <w:rsid w:val="00146D64"/>
    <w:rsid w:val="007A1BEE"/>
    <w:rsid w:val="008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64EF-99C9-4508-AEFB-173961C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441/history" TargetMode="External"/><Relationship Id="rId13" Type="http://schemas.openxmlformats.org/officeDocument/2006/relationships/hyperlink" Target="http://adilet.zan.kz/rus/docs/V1500012651" TargetMode="External"/><Relationship Id="rId18" Type="http://schemas.openxmlformats.org/officeDocument/2006/relationships/hyperlink" Target="http://adilet.zan.kz/rus/docs/V1600014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4441/info" TargetMode="External"/><Relationship Id="rId12" Type="http://schemas.openxmlformats.org/officeDocument/2006/relationships/hyperlink" Target="http://adilet.zan.kz/rus/docs/V1600014441" TargetMode="External"/><Relationship Id="rId17" Type="http://schemas.openxmlformats.org/officeDocument/2006/relationships/hyperlink" Target="http://adilet.zan.kz/rus/docs/V1600014441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5000004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origins/V1600014441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hyperlink" Target="http://adilet.zan.kz/rus/docs/V1600014441" TargetMode="External"/><Relationship Id="rId15" Type="http://schemas.openxmlformats.org/officeDocument/2006/relationships/hyperlink" Target="http://adilet.zan.kz/rus/docs/Z1500000410" TargetMode="External"/><Relationship Id="rId10" Type="http://schemas.openxmlformats.org/officeDocument/2006/relationships/hyperlink" Target="http://adilet.zan.kz/rus/docs/V1600014441/downloa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441/links" TargetMode="External"/><Relationship Id="rId14" Type="http://schemas.openxmlformats.org/officeDocument/2006/relationships/hyperlink" Target="http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2021-03-29T11:13:00Z</dcterms:created>
  <dcterms:modified xsi:type="dcterms:W3CDTF">2021-03-29T11:14:00Z</dcterms:modified>
</cp:coreProperties>
</file>